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Методические рекомендации по ведению адвокатского производства</w:t>
      </w:r>
      <w:bookmarkEnd w:id="1"/>
    </w:p>
    <w:p>
      <w:pPr>
        <w:jc w:val="center"/>
        <w:spacing w:after="566.9291338582676"/>
      </w:pPr>
      <w:r>
        <w:rPr>
          <w:color w:val="999999"/>
          <w:sz w:val="20"/>
          <w:szCs w:val="20"/>
        </w:rPr>
        <w:t xml:space="preserve">11 июня 2010г.</w:t>
      </w:r>
    </w:p>
    <w:sectPr>
      <w:pgSz w:orient="portrait" w:w="11905.511811023622" w:h="16837.79527559055"/>
      <w:pgMar w:top="850.3937007874015" w:right="566.9291338582676" w:bottom="22.5" w:left="566.9291338582676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283.4645669291338"/>
    </w:pPr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ФПА РФ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AutoGenerator</dc:creator>
  <dc:title>Методические рекомендации по ведению адвокатского производства</dc:title>
  <dc:description/>
  <dc:subject/>
  <cp:keywords/>
  <cp:category/>
  <cp:lastModifiedBy/>
  <dcterms:created xsi:type="dcterms:W3CDTF">2025-05-12T13:27:55+03:00</dcterms:created>
  <dcterms:modified xsi:type="dcterms:W3CDTF">2025-05-12T13:27:55+03:00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